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color w:val="000000"/>
          <w:kern w:val="0"/>
          <w:sz w:val="44"/>
          <w:szCs w:val="44"/>
          <w:lang w:eastAsia="zh-CN"/>
        </w:rPr>
      </w:pPr>
      <w:r>
        <w:rPr>
          <w:rFonts w:hint="eastAsia" w:ascii="方正小标宋_GBK" w:hAnsi="方正小标宋_GBK" w:eastAsia="方正小标宋_GBK" w:cs="方正小标宋_GBK"/>
          <w:b/>
          <w:bCs/>
          <w:color w:val="000000"/>
          <w:kern w:val="0"/>
          <w:sz w:val="44"/>
          <w:szCs w:val="44"/>
        </w:rPr>
        <w:t>桂林市城市商品房预售资金</w:t>
      </w:r>
      <w:r>
        <w:rPr>
          <w:rFonts w:hint="eastAsia" w:ascii="方正小标宋_GBK" w:hAnsi="方正小标宋_GBK" w:eastAsia="方正小标宋_GBK" w:cs="方正小标宋_GBK"/>
          <w:b/>
          <w:bCs/>
          <w:color w:val="000000"/>
          <w:kern w:val="0"/>
          <w:sz w:val="44"/>
          <w:szCs w:val="44"/>
          <w:lang w:eastAsia="zh-CN"/>
        </w:rPr>
        <w:t>监管办法</w:t>
      </w:r>
    </w:p>
    <w:p>
      <w:pPr>
        <w:jc w:val="center"/>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kern w:val="0"/>
          <w:sz w:val="32"/>
          <w:szCs w:val="32"/>
          <w:lang w:eastAsia="zh-CN"/>
        </w:rPr>
        <w:t>（202</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lang w:eastAsia="zh-CN"/>
        </w:rPr>
        <w:t>年修订版</w:t>
      </w:r>
      <w:r>
        <w:rPr>
          <w:rFonts w:hint="eastAsia" w:ascii="仿宋_GB2312" w:hAnsi="仿宋_GB2312" w:eastAsia="仿宋_GB2312" w:cs="仿宋_GB2312"/>
          <w:b w:val="0"/>
          <w:bCs w:val="0"/>
          <w:kern w:val="0"/>
          <w:sz w:val="32"/>
          <w:szCs w:val="32"/>
          <w:lang w:val="en-US" w:eastAsia="zh-CN"/>
        </w:rPr>
        <w:t xml:space="preserve"> 征求意见稿</w:t>
      </w:r>
      <w:bookmarkStart w:id="15" w:name="_GoBack"/>
      <w:bookmarkEnd w:id="15"/>
      <w:r>
        <w:rPr>
          <w:rFonts w:hint="eastAsia" w:ascii="仿宋_GB2312" w:hAnsi="仿宋_GB2312" w:eastAsia="仿宋_GB2312" w:cs="仿宋_GB2312"/>
          <w:b w:val="0"/>
          <w:bCs w:val="0"/>
          <w:color w:val="000000"/>
          <w:kern w:val="0"/>
          <w:sz w:val="32"/>
          <w:szCs w:val="32"/>
          <w:lang w:eastAsia="zh-CN"/>
        </w:rPr>
        <w:t>）</w:t>
      </w:r>
    </w:p>
    <w:p>
      <w:pPr>
        <w:jc w:val="center"/>
        <w:rPr>
          <w:rFonts w:hint="default" w:ascii="̥_GB2312" w:hAnsi="̥_GB2312" w:cs="宋体" w:eastAsiaTheme="minorEastAsia"/>
          <w:b/>
          <w:bCs/>
          <w:color w:val="000000"/>
          <w:kern w:val="0"/>
          <w:sz w:val="30"/>
          <w:szCs w:val="30"/>
          <w:lang w:val="en-US" w:eastAsia="zh-CN"/>
        </w:rPr>
      </w:pPr>
      <w:r>
        <w:rPr>
          <w:rFonts w:hint="eastAsia" w:ascii="̥_GB2312" w:hAnsi="̥_GB2312" w:cs="宋体"/>
          <w:b/>
          <w:bCs/>
          <w:color w:val="000000"/>
          <w:kern w:val="0"/>
          <w:sz w:val="30"/>
          <w:szCs w:val="30"/>
          <w:lang w:eastAsia="zh-CN"/>
        </w:rPr>
        <w:t>第一章</w:t>
      </w:r>
      <w:r>
        <w:rPr>
          <w:rFonts w:hint="eastAsia" w:ascii="̥_GB2312" w:hAnsi="̥_GB2312" w:cs="宋体"/>
          <w:b/>
          <w:bCs/>
          <w:color w:val="000000"/>
          <w:kern w:val="0"/>
          <w:sz w:val="30"/>
          <w:szCs w:val="30"/>
          <w:lang w:val="en-US" w:eastAsia="zh-CN"/>
        </w:rPr>
        <w:t xml:space="preserve">  总 则</w:t>
      </w:r>
    </w:p>
    <w:p>
      <w:pPr>
        <w:spacing w:line="360" w:lineRule="auto"/>
        <w:ind w:firstLine="643" w:firstLineChars="200"/>
        <w:rPr>
          <w:rFonts w:hint="eastAsia" w:ascii="仿宋_GB2312" w:hAnsi="仿宋_GB2312" w:eastAsia="仿宋_GB2312" w:cs="仿宋_GB2312"/>
          <w:smallCaps w:val="0"/>
          <w:color w:val="000000" w:themeColor="text1"/>
          <w:kern w:val="0"/>
          <w:sz w:val="32"/>
          <w:szCs w:val="32"/>
          <w14:textFill>
            <w14:solidFill>
              <w14:schemeClr w14:val="tx1"/>
            </w14:solidFill>
          </w14:textFill>
        </w:rPr>
      </w:pPr>
      <w:bookmarkStart w:id="0" w:name="1"/>
      <w:r>
        <w:rPr>
          <w:rFonts w:hint="eastAsia" w:ascii="仿宋_GB2312" w:hAnsi="仿宋_GB2312" w:eastAsia="仿宋_GB2312" w:cs="仿宋_GB2312"/>
          <w:b/>
          <w:bCs/>
          <w:smallCaps w:val="0"/>
          <w:color w:val="000000" w:themeColor="text1"/>
          <w:kern w:val="0"/>
          <w:sz w:val="32"/>
          <w:szCs w:val="32"/>
          <w14:textFill>
            <w14:solidFill>
              <w14:schemeClr w14:val="tx1"/>
            </w14:solidFill>
          </w14:textFill>
        </w:rPr>
        <w:t>第一条</w:t>
      </w:r>
      <w:bookmarkEnd w:id="0"/>
      <w:r>
        <w:rPr>
          <w:rFonts w:hint="eastAsia" w:ascii="仿宋_GB2312" w:hAnsi="仿宋_GB2312" w:eastAsia="仿宋_GB2312" w:cs="仿宋_GB2312"/>
          <w:smallCaps w:val="0"/>
          <w:color w:val="000000" w:themeColor="text1"/>
          <w:kern w:val="0"/>
          <w:sz w:val="32"/>
          <w:szCs w:val="32"/>
          <w14:textFill>
            <w14:solidFill>
              <w14:schemeClr w14:val="tx1"/>
            </w14:solidFill>
          </w14:textFill>
        </w:rPr>
        <w:t>　根据《</w:t>
      </w:r>
      <w:r>
        <w:rPr>
          <w:rFonts w:hint="eastAsia" w:ascii="仿宋_GB2312" w:hAnsi="仿宋_GB2312" w:eastAsia="仿宋_GB2312" w:cs="仿宋_GB2312"/>
          <w:smallCap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mallCaps w:val="0"/>
          <w:color w:val="000000" w:themeColor="text1"/>
          <w:sz w:val="32"/>
          <w:szCs w:val="32"/>
          <w14:textFill>
            <w14:solidFill>
              <w14:schemeClr w14:val="tx1"/>
            </w14:solidFill>
          </w14:textFill>
        </w:rPr>
        <w:instrText xml:space="preserve"> HYPERLINK "javascript:ROF(120879,0)" </w:instrText>
      </w:r>
      <w:r>
        <w:rPr>
          <w:rFonts w:hint="eastAsia" w:ascii="仿宋_GB2312" w:hAnsi="仿宋_GB2312" w:eastAsia="仿宋_GB2312" w:cs="仿宋_GB2312"/>
          <w:smallCaps w:val="0"/>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smallCaps w:val="0"/>
          <w:color w:val="000000" w:themeColor="text1"/>
          <w:kern w:val="0"/>
          <w:sz w:val="32"/>
          <w:szCs w:val="32"/>
          <w14:textFill>
            <w14:solidFill>
              <w14:schemeClr w14:val="tx1"/>
            </w14:solidFill>
          </w14:textFill>
        </w:rPr>
        <w:t>中华人民共和国城市房地产管理法</w:t>
      </w:r>
      <w:r>
        <w:rPr>
          <w:rFonts w:hint="eastAsia" w:ascii="仿宋_GB2312" w:hAnsi="仿宋_GB2312" w:eastAsia="仿宋_GB2312" w:cs="仿宋_GB2312"/>
          <w:smallCaps w:val="0"/>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smallCaps w:val="0"/>
          <w:color w:val="000000" w:themeColor="text1"/>
          <w:kern w:val="0"/>
          <w:sz w:val="32"/>
          <w:szCs w:val="32"/>
          <w14:textFill>
            <w14:solidFill>
              <w14:schemeClr w14:val="tx1"/>
            </w14:solidFill>
          </w14:textFill>
        </w:rPr>
        <w:t>》、《</w:t>
      </w:r>
      <w:r>
        <w:rPr>
          <w:rFonts w:hint="eastAsia" w:ascii="仿宋_GB2312" w:hAnsi="仿宋_GB2312" w:eastAsia="仿宋_GB2312" w:cs="仿宋_GB2312"/>
          <w:smallCap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mallCaps w:val="0"/>
          <w:color w:val="000000" w:themeColor="text1"/>
          <w:sz w:val="32"/>
          <w:szCs w:val="32"/>
          <w14:textFill>
            <w14:solidFill>
              <w14:schemeClr w14:val="tx1"/>
            </w14:solidFill>
          </w14:textFill>
        </w:rPr>
        <w:instrText xml:space="preserve"> HYPERLINK "javascript:ROF(96178,0)" </w:instrText>
      </w:r>
      <w:r>
        <w:rPr>
          <w:rFonts w:hint="eastAsia" w:ascii="仿宋_GB2312" w:hAnsi="仿宋_GB2312" w:eastAsia="仿宋_GB2312" w:cs="仿宋_GB2312"/>
          <w:smallCaps w:val="0"/>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smallCaps w:val="0"/>
          <w:color w:val="000000" w:themeColor="text1"/>
          <w:kern w:val="0"/>
          <w:sz w:val="32"/>
          <w:szCs w:val="32"/>
          <w14:textFill>
            <w14:solidFill>
              <w14:schemeClr w14:val="tx1"/>
            </w14:solidFill>
          </w14:textFill>
        </w:rPr>
        <w:t>城市商品房预售管理办法</w:t>
      </w:r>
      <w:r>
        <w:rPr>
          <w:rFonts w:hint="eastAsia" w:ascii="仿宋_GB2312" w:hAnsi="仿宋_GB2312" w:eastAsia="仿宋_GB2312" w:cs="仿宋_GB2312"/>
          <w:smallCaps w:val="0"/>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smallCaps w:val="0"/>
          <w:color w:val="000000" w:themeColor="text1"/>
          <w:kern w:val="0"/>
          <w:sz w:val="32"/>
          <w:szCs w:val="32"/>
          <w14:textFill>
            <w14:solidFill>
              <w14:schemeClr w14:val="tx1"/>
            </w14:solidFill>
          </w14:textFill>
        </w:rPr>
        <w:t>》、</w:t>
      </w:r>
      <w:r>
        <w:rPr>
          <w:rFonts w:hint="eastAsia" w:ascii="仿宋_GB2312" w:hAnsi="仿宋_GB2312" w:eastAsia="仿宋_GB2312" w:cs="仿宋_GB2312"/>
          <w:smallCaps w:val="0"/>
          <w:color w:val="000000" w:themeColor="text1"/>
          <w:kern w:val="0"/>
          <w:sz w:val="32"/>
          <w:szCs w:val="32"/>
          <w:lang w:eastAsia="zh-CN"/>
          <w14:textFill>
            <w14:solidFill>
              <w14:schemeClr w14:val="tx1"/>
            </w14:solidFill>
          </w14:textFill>
        </w:rPr>
        <w:t>《住房和城乡建设部</w:t>
      </w:r>
      <w:r>
        <w:rPr>
          <w:rFonts w:hint="eastAsia" w:ascii="仿宋_GB2312" w:hAnsi="仿宋_GB2312" w:eastAsia="仿宋_GB2312" w:cs="仿宋_GB2312"/>
          <w:smallCaps w:val="0"/>
          <w:color w:val="000000" w:themeColor="text1"/>
          <w:kern w:val="0"/>
          <w:sz w:val="32"/>
          <w:szCs w:val="32"/>
          <w:lang w:val="en-US" w:eastAsia="zh-CN"/>
          <w14:textFill>
            <w14:solidFill>
              <w14:schemeClr w14:val="tx1"/>
            </w14:solidFill>
          </w14:textFill>
        </w:rPr>
        <w:t xml:space="preserve"> 人民银行 银保监会 关于规范商品房预售资金监管的意见》</w:t>
      </w:r>
      <w:r>
        <w:rPr>
          <w:rFonts w:hint="eastAsia" w:ascii="仿宋_GB2312" w:hAnsi="仿宋_GB2312" w:eastAsia="仿宋_GB2312" w:cs="仿宋_GB2312"/>
          <w:smallCap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mallCaps w:val="0"/>
          <w:color w:val="000000" w:themeColor="text1"/>
          <w:kern w:val="0"/>
          <w:sz w:val="32"/>
          <w:szCs w:val="32"/>
          <w14:textFill>
            <w14:solidFill>
              <w14:schemeClr w14:val="tx1"/>
            </w14:solidFill>
          </w14:textFill>
        </w:rPr>
        <w:t>《广西壮族自治区房地产开发企业管理办法》等有关规定，结合我市实际，制定本</w:t>
      </w:r>
      <w:r>
        <w:rPr>
          <w:rFonts w:hint="eastAsia" w:ascii="仿宋_GB2312" w:hAnsi="仿宋_GB2312" w:eastAsia="仿宋_GB2312" w:cs="仿宋_GB2312"/>
          <w:smallCaps w:val="0"/>
          <w:color w:val="000000" w:themeColor="text1"/>
          <w:kern w:val="0"/>
          <w:sz w:val="32"/>
          <w:szCs w:val="32"/>
          <w:lang w:eastAsia="zh-CN"/>
          <w14:textFill>
            <w14:solidFill>
              <w14:schemeClr w14:val="tx1"/>
            </w14:solidFill>
          </w14:textFill>
        </w:rPr>
        <w:t>办法</w:t>
      </w:r>
      <w:r>
        <w:rPr>
          <w:rFonts w:hint="eastAsia" w:ascii="仿宋_GB2312" w:hAnsi="仿宋_GB2312" w:eastAsia="仿宋_GB2312" w:cs="仿宋_GB2312"/>
          <w:smallCaps w:val="0"/>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ind w:firstLine="643" w:firstLineChars="200"/>
        <w:textAlignment w:val="auto"/>
        <w:rPr>
          <w:rFonts w:hint="eastAsia" w:ascii="仿宋_GB2312" w:hAnsi="仿宋_GB2312" w:eastAsia="仿宋_GB2312" w:cs="仿宋_GB2312"/>
          <w:smallCaps w:val="0"/>
          <w:color w:val="000000" w:themeColor="text1"/>
          <w:kern w:val="0"/>
          <w:sz w:val="32"/>
          <w:szCs w:val="32"/>
          <w:lang w:eastAsia="zh-CN"/>
          <w14:textFill>
            <w14:solidFill>
              <w14:schemeClr w14:val="tx1"/>
            </w14:solidFill>
          </w14:textFill>
        </w:rPr>
      </w:pPr>
      <w:bookmarkStart w:id="1" w:name="2"/>
      <w:r>
        <w:rPr>
          <w:rFonts w:hint="eastAsia" w:ascii="仿宋_GB2312" w:hAnsi="仿宋_GB2312" w:eastAsia="仿宋_GB2312" w:cs="仿宋_GB2312"/>
          <w:b/>
          <w:bCs/>
          <w:smallCaps w:val="0"/>
          <w:color w:val="000000" w:themeColor="text1"/>
          <w:kern w:val="0"/>
          <w:sz w:val="32"/>
          <w:szCs w:val="32"/>
          <w14:textFill>
            <w14:solidFill>
              <w14:schemeClr w14:val="tx1"/>
            </w14:solidFill>
          </w14:textFill>
        </w:rPr>
        <w:t>第二条</w:t>
      </w:r>
      <w:bookmarkEnd w:id="1"/>
      <w:r>
        <w:rPr>
          <w:rFonts w:hint="eastAsia" w:ascii="仿宋_GB2312" w:hAnsi="仿宋_GB2312" w:eastAsia="仿宋_GB2312" w:cs="仿宋_GB2312"/>
          <w:smallCaps w:val="0"/>
          <w:color w:val="000000" w:themeColor="text1"/>
          <w:kern w:val="0"/>
          <w:sz w:val="32"/>
          <w:szCs w:val="32"/>
          <w14:textFill>
            <w14:solidFill>
              <w14:schemeClr w14:val="tx1"/>
            </w14:solidFill>
          </w14:textFill>
        </w:rPr>
        <w:t>　凡在本市城市规划区内从事房地产开发的企业，取得《商品房预售许可证》的商品房项目，其预售资金收存、支出和使用，适用本</w:t>
      </w:r>
      <w:r>
        <w:rPr>
          <w:rFonts w:hint="eastAsia" w:ascii="仿宋_GB2312" w:hAnsi="仿宋_GB2312" w:eastAsia="仿宋_GB2312" w:cs="仿宋_GB2312"/>
          <w:smallCaps w:val="0"/>
          <w:color w:val="000000" w:themeColor="text1"/>
          <w:kern w:val="0"/>
          <w:sz w:val="32"/>
          <w:szCs w:val="32"/>
          <w:lang w:eastAsia="zh-CN"/>
          <w14:textFill>
            <w14:solidFill>
              <w14:schemeClr w14:val="tx1"/>
            </w14:solidFill>
          </w14:textFill>
        </w:rPr>
        <w:t>办法</w:t>
      </w:r>
      <w:r>
        <w:rPr>
          <w:rFonts w:hint="eastAsia" w:ascii="仿宋_GB2312" w:hAnsi="仿宋_GB2312" w:eastAsia="仿宋_GB2312" w:cs="仿宋_GB2312"/>
          <w:smallCaps w:val="0"/>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ind w:firstLine="643" w:firstLineChars="200"/>
        <w:textAlignment w:val="auto"/>
        <w:rPr>
          <w:rFonts w:hint="eastAsia" w:ascii="仿宋_GB2312" w:hAnsi="仿宋_GB2312" w:eastAsia="仿宋_GB2312" w:cs="仿宋_GB2312"/>
          <w:smallCaps w:val="0"/>
          <w:color w:val="000000" w:themeColor="text1"/>
          <w:sz w:val="32"/>
          <w:szCs w:val="32"/>
          <w:lang w:eastAsia="zh-CN"/>
          <w14:textFill>
            <w14:solidFill>
              <w14:schemeClr w14:val="tx1"/>
            </w14:solidFill>
          </w14:textFill>
        </w:rPr>
      </w:pPr>
      <w:bookmarkStart w:id="2" w:name="3"/>
      <w:r>
        <w:rPr>
          <w:rFonts w:hint="eastAsia" w:ascii="仿宋_GB2312" w:hAnsi="仿宋_GB2312" w:eastAsia="仿宋_GB2312" w:cs="仿宋_GB2312"/>
          <w:b/>
          <w:bCs/>
          <w:smallCaps w:val="0"/>
          <w:color w:val="000000" w:themeColor="text1"/>
          <w:kern w:val="0"/>
          <w:sz w:val="32"/>
          <w:szCs w:val="32"/>
          <w14:textFill>
            <w14:solidFill>
              <w14:schemeClr w14:val="tx1"/>
            </w14:solidFill>
          </w14:textFill>
        </w:rPr>
        <w:t>第三条</w:t>
      </w:r>
      <w:bookmarkEnd w:id="2"/>
      <w:r>
        <w:rPr>
          <w:rFonts w:hint="eastAsia" w:ascii="仿宋_GB2312" w:hAnsi="仿宋_GB2312" w:eastAsia="仿宋_GB2312" w:cs="仿宋_GB2312"/>
          <w:smallCaps w:val="0"/>
          <w:color w:val="000000" w:themeColor="text1"/>
          <w:kern w:val="0"/>
          <w:sz w:val="32"/>
          <w:szCs w:val="32"/>
          <w14:textFill>
            <w14:solidFill>
              <w14:schemeClr w14:val="tx1"/>
            </w14:solidFill>
          </w14:textFill>
        </w:rPr>
        <w:t>　商品房预售资金，是指预售人将取得《商品房预售许可证》的商品房出售时，由承购人</w:t>
      </w:r>
      <w:r>
        <w:rPr>
          <w:rFonts w:hint="eastAsia" w:ascii="仿宋_GB2312" w:hAnsi="仿宋_GB2312" w:eastAsia="仿宋_GB2312" w:cs="仿宋_GB2312"/>
          <w:smallCaps w:val="0"/>
          <w:color w:val="000000" w:themeColor="text1"/>
          <w:kern w:val="0"/>
          <w:sz w:val="32"/>
          <w:szCs w:val="32"/>
          <w:lang w:eastAsia="zh-CN"/>
          <w14:textFill>
            <w14:solidFill>
              <w14:schemeClr w14:val="tx1"/>
            </w14:solidFill>
          </w14:textFill>
        </w:rPr>
        <w:t>缴交</w:t>
      </w:r>
      <w:r>
        <w:rPr>
          <w:rFonts w:hint="eastAsia" w:ascii="仿宋_GB2312" w:hAnsi="仿宋_GB2312" w:eastAsia="仿宋_GB2312" w:cs="仿宋_GB2312"/>
          <w:smallCaps w:val="0"/>
          <w:color w:val="000000" w:themeColor="text1"/>
          <w:kern w:val="0"/>
          <w:sz w:val="32"/>
          <w:szCs w:val="32"/>
          <w14:textFill>
            <w14:solidFill>
              <w14:schemeClr w14:val="tx1"/>
            </w14:solidFill>
          </w14:textFill>
        </w:rPr>
        <w:t>的定金、</w:t>
      </w:r>
      <w:r>
        <w:rPr>
          <w:rFonts w:hint="eastAsia" w:ascii="仿宋_GB2312" w:hAnsi="仿宋_GB2312" w:eastAsia="仿宋_GB2312" w:cs="仿宋_GB2312"/>
          <w:smallCaps w:val="0"/>
          <w:color w:val="000000" w:themeColor="text1"/>
          <w:kern w:val="0"/>
          <w:sz w:val="32"/>
          <w:szCs w:val="32"/>
          <w:lang w:eastAsia="zh-CN"/>
          <w14:textFill>
            <w14:solidFill>
              <w14:schemeClr w14:val="tx1"/>
            </w14:solidFill>
          </w14:textFill>
        </w:rPr>
        <w:t>预付款、首付</w:t>
      </w:r>
      <w:r>
        <w:rPr>
          <w:rFonts w:hint="eastAsia" w:ascii="仿宋_GB2312" w:hAnsi="仿宋_GB2312" w:eastAsia="仿宋_GB2312" w:cs="仿宋_GB2312"/>
          <w:smallCaps w:val="0"/>
          <w:color w:val="000000" w:themeColor="text1"/>
          <w:kern w:val="0"/>
          <w:sz w:val="32"/>
          <w:szCs w:val="32"/>
          <w14:textFill>
            <w14:solidFill>
              <w14:schemeClr w14:val="tx1"/>
            </w14:solidFill>
          </w14:textFill>
        </w:rPr>
        <w:t>款、</w:t>
      </w:r>
      <w:r>
        <w:rPr>
          <w:rFonts w:hint="eastAsia" w:ascii="仿宋_GB2312" w:hAnsi="仿宋_GB2312" w:eastAsia="仿宋_GB2312" w:cs="仿宋_GB2312"/>
          <w:smallCaps w:val="0"/>
          <w:color w:val="000000" w:themeColor="text1"/>
          <w:kern w:val="0"/>
          <w:sz w:val="32"/>
          <w:szCs w:val="32"/>
          <w:lang w:eastAsia="zh-CN"/>
          <w14:textFill>
            <w14:solidFill>
              <w14:schemeClr w14:val="tx1"/>
            </w14:solidFill>
          </w14:textFill>
        </w:rPr>
        <w:t>商业银行发放的按揭贷款和其他形式的购房款等</w:t>
      </w:r>
      <w:r>
        <w:rPr>
          <w:rFonts w:hint="eastAsia" w:ascii="仿宋_GB2312" w:hAnsi="仿宋_GB2312" w:eastAsia="仿宋_GB2312" w:cs="仿宋_GB2312"/>
          <w:smallCaps w:val="0"/>
          <w:color w:val="000000" w:themeColor="text1"/>
          <w:kern w:val="0"/>
          <w:sz w:val="32"/>
          <w:szCs w:val="32"/>
          <w14:textFill>
            <w14:solidFill>
              <w14:schemeClr w14:val="tx1"/>
            </w14:solidFill>
          </w14:textFill>
        </w:rPr>
        <w:t>各种款项。</w:t>
      </w:r>
    </w:p>
    <w:p>
      <w:pPr>
        <w:pStyle w:val="4"/>
        <w:keepNext w:val="0"/>
        <w:keepLines w:val="0"/>
        <w:pageBreakBefore w:val="0"/>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_GB2312" w:hAnsi="仿宋_GB2312" w:eastAsia="仿宋_GB2312" w:cs="仿宋_GB2312"/>
          <w:smallCap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smallCaps w:val="0"/>
          <w:color w:val="000000" w:themeColor="text1"/>
          <w:sz w:val="32"/>
          <w:szCs w:val="32"/>
          <w14:textFill>
            <w14:solidFill>
              <w14:schemeClr w14:val="tx1"/>
            </w14:solidFill>
          </w14:textFill>
        </w:rPr>
        <w:t>预售人，是指预售商品房的房地产开发企业。</w:t>
      </w:r>
    </w:p>
    <w:p>
      <w:pPr>
        <w:pStyle w:val="4"/>
        <w:keepNext w:val="0"/>
        <w:keepLines w:val="0"/>
        <w:pageBreakBefore w:val="0"/>
        <w:shd w:val="clear" w:color="auto" w:fill="FFFFFF"/>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_GB2312" w:hAnsi="仿宋_GB2312" w:eastAsia="仿宋_GB2312" w:cs="仿宋_GB2312"/>
          <w:smallCap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mallCaps w:val="0"/>
          <w:color w:val="000000" w:themeColor="text1"/>
          <w:sz w:val="32"/>
          <w:szCs w:val="32"/>
          <w14:textFill>
            <w14:solidFill>
              <w14:schemeClr w14:val="tx1"/>
            </w14:solidFill>
          </w14:textFill>
        </w:rPr>
        <w:t>承购人，</w:t>
      </w:r>
      <w:r>
        <w:rPr>
          <w:rFonts w:hint="eastAsia" w:ascii="仿宋_GB2312" w:hAnsi="仿宋_GB2312" w:eastAsia="仿宋_GB2312" w:cs="仿宋_GB2312"/>
          <w:smallCaps w:val="0"/>
          <w:color w:val="000000" w:themeColor="text1"/>
          <w:kern w:val="0"/>
          <w:sz w:val="32"/>
          <w:szCs w:val="32"/>
          <w:lang w:val="en-US" w:eastAsia="zh-CN" w:bidi="ar-SA"/>
          <w14:textFill>
            <w14:solidFill>
              <w14:schemeClr w14:val="tx1"/>
            </w14:solidFill>
          </w14:textFill>
        </w:rPr>
        <w:t>是指购买预售商品房的单位和个人。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_GB2312" w:hAnsi="仿宋_GB2312" w:eastAsia="仿宋_GB2312" w:cs="仿宋_GB2312"/>
          <w:smallCaps w:val="0"/>
          <w:color w:val="000000" w:themeColor="text1"/>
          <w:sz w:val="32"/>
          <w:szCs w:val="32"/>
          <w:u w:val="none"/>
          <w14:textFill>
            <w14:solidFill>
              <w14:schemeClr w14:val="tx1"/>
            </w14:solidFill>
          </w14:textFill>
        </w:rPr>
      </w:pPr>
      <w:bookmarkStart w:id="3" w:name="4"/>
      <w:r>
        <w:rPr>
          <w:rFonts w:hint="eastAsia" w:ascii="仿宋_GB2312" w:hAnsi="仿宋_GB2312" w:eastAsia="仿宋_GB2312" w:cs="仿宋_GB2312"/>
          <w:b/>
          <w:bCs/>
          <w:smallCaps w:val="0"/>
          <w:color w:val="000000" w:themeColor="text1"/>
          <w:kern w:val="0"/>
          <w:sz w:val="32"/>
          <w:szCs w:val="32"/>
          <w:u w:val="none"/>
          <w:lang w:val="en-US" w:eastAsia="zh-CN" w:bidi="ar-SA"/>
          <w14:textFill>
            <w14:solidFill>
              <w14:schemeClr w14:val="tx1"/>
            </w14:solidFill>
          </w14:textFill>
        </w:rPr>
        <w:t>第四条</w:t>
      </w:r>
      <w:bookmarkEnd w:id="3"/>
      <w:r>
        <w:rPr>
          <w:rFonts w:hint="eastAsia" w:ascii="仿宋_GB2312" w:hAnsi="仿宋_GB2312" w:eastAsia="仿宋_GB2312" w:cs="仿宋_GB2312"/>
          <w:smallCaps w:val="0"/>
          <w:color w:val="000000" w:themeColor="text1"/>
          <w:kern w:val="0"/>
          <w:sz w:val="32"/>
          <w:szCs w:val="32"/>
          <w:u w:val="none"/>
          <w:lang w:val="en-US" w:eastAsia="zh-CN" w:bidi="ar-SA"/>
          <w14:textFill>
            <w14:solidFill>
              <w14:schemeClr w14:val="tx1"/>
            </w14:solidFill>
          </w14:textFill>
        </w:rPr>
        <w:t>　市住房城乡建设局会同中国人民银行桂林市中心支行、桂林银保监分局通过公开招标方式确定能够承接本市商品房预售资金监管业务的商业银行，并通过市住房和城乡建设部门门户网站予以公示，</w:t>
      </w:r>
      <w:r>
        <w:rPr>
          <w:rFonts w:hint="eastAsia" w:ascii="仿宋_GB2312" w:hAnsi="仿宋_GB2312" w:eastAsia="仿宋_GB2312" w:cs="仿宋_GB2312"/>
          <w:smallCaps w:val="0"/>
          <w:color w:val="auto"/>
          <w:kern w:val="0"/>
          <w:sz w:val="32"/>
          <w:szCs w:val="32"/>
          <w:u w:val="none"/>
          <w:lang w:val="en-US" w:eastAsia="zh-CN" w:bidi="ar-SA"/>
        </w:rPr>
        <w:t>中标服</w:t>
      </w:r>
      <w:r>
        <w:rPr>
          <w:rFonts w:hint="eastAsia" w:ascii="仿宋_GB2312" w:hAnsi="仿宋_GB2312" w:eastAsia="仿宋_GB2312" w:cs="仿宋_GB2312"/>
          <w:smallCaps w:val="0"/>
          <w:color w:val="auto"/>
          <w:sz w:val="32"/>
          <w:szCs w:val="32"/>
          <w:u w:val="none"/>
          <w:lang w:eastAsia="zh-CN"/>
        </w:rPr>
        <w:t>务期限为</w:t>
      </w:r>
      <w:r>
        <w:rPr>
          <w:rFonts w:hint="eastAsia" w:ascii="仿宋_GB2312" w:hAnsi="仿宋_GB2312" w:eastAsia="仿宋_GB2312" w:cs="仿宋_GB2312"/>
          <w:smallCaps w:val="0"/>
          <w:color w:val="auto"/>
          <w:sz w:val="32"/>
          <w:szCs w:val="32"/>
          <w:u w:val="none"/>
          <w:lang w:val="en-US" w:eastAsia="zh-CN"/>
        </w:rPr>
        <w:t>3年</w:t>
      </w:r>
      <w:r>
        <w:rPr>
          <w:rFonts w:hint="eastAsia" w:ascii="仿宋_GB2312" w:hAnsi="仿宋_GB2312" w:eastAsia="仿宋_GB2312" w:cs="仿宋_GB2312"/>
          <w:smallCaps w:val="0"/>
          <w:color w:val="auto"/>
          <w:kern w:val="0"/>
          <w:sz w:val="32"/>
          <w:szCs w:val="32"/>
          <w:u w:val="none"/>
        </w:rPr>
        <w:t>。</w:t>
      </w:r>
    </w:p>
    <w:p>
      <w:pPr>
        <w:pStyle w:val="4"/>
        <w:keepNext w:val="0"/>
        <w:keepLines w:val="0"/>
        <w:pageBreakBefore w:val="0"/>
        <w:shd w:val="clear" w:color="auto" w:fill="FFFFFF"/>
        <w:kinsoku/>
        <w:wordWrap/>
        <w:overflowPunct/>
        <w:topLinePunct w:val="0"/>
        <w:autoSpaceDE/>
        <w:autoSpaceDN/>
        <w:bidi w:val="0"/>
        <w:adjustRightInd/>
        <w:snapToGrid w:val="0"/>
        <w:spacing w:beforeAutospacing="0" w:afterAutospacing="0" w:line="360" w:lineRule="auto"/>
        <w:ind w:firstLine="643" w:firstLineChars="200"/>
        <w:jc w:val="both"/>
        <w:textAlignment w:val="auto"/>
        <w:rPr>
          <w:rFonts w:hint="eastAsia" w:ascii="仿宋_GB2312" w:hAnsi="仿宋_GB2312" w:eastAsia="仿宋_GB2312" w:cs="仿宋_GB2312"/>
          <w:smallCaps w:val="0"/>
          <w:color w:val="000000" w:themeColor="text1"/>
          <w:sz w:val="32"/>
          <w:szCs w:val="32"/>
          <w:u w:val="none"/>
          <w14:textFill>
            <w14:solidFill>
              <w14:schemeClr w14:val="tx1"/>
            </w14:solidFill>
          </w14:textFill>
        </w:rPr>
      </w:pPr>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第五条</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　</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市住房城乡建设局</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、人民银行桂林市中心支行、桂林</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银保监</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分局</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按职责分工对商品房预售资金监管实施指导和监督</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w:t>
      </w:r>
    </w:p>
    <w:p>
      <w:pPr>
        <w:pStyle w:val="4"/>
        <w:keepNext w:val="0"/>
        <w:keepLines w:val="0"/>
        <w:pageBreakBefore w:val="0"/>
        <w:shd w:val="clear" w:color="auto" w:fill="FFFFFF"/>
        <w:kinsoku/>
        <w:wordWrap/>
        <w:overflowPunct/>
        <w:topLinePunct w:val="0"/>
        <w:autoSpaceDE/>
        <w:autoSpaceDN/>
        <w:bidi w:val="0"/>
        <w:adjustRightInd/>
        <w:snapToGrid w:val="0"/>
        <w:spacing w:beforeAutospacing="0" w:afterAutospacing="0" w:line="360" w:lineRule="auto"/>
        <w:ind w:firstLine="640" w:firstLineChars="200"/>
        <w:jc w:val="both"/>
        <w:textAlignment w:val="auto"/>
        <w:rPr>
          <w:rFonts w:hint="eastAsia" w:ascii="仿宋_GB2312" w:hAnsi="仿宋_GB2312" w:eastAsia="仿宋_GB2312" w:cs="仿宋_GB2312"/>
          <w:smallCaps w:val="0"/>
          <w:color w:val="000000" w:themeColor="text1"/>
          <w:sz w:val="32"/>
          <w:szCs w:val="32"/>
          <w:u w:val="none"/>
          <w14:textFill>
            <w14:solidFill>
              <w14:schemeClr w14:val="tx1"/>
            </w14:solidFill>
          </w14:textFill>
        </w:rPr>
      </w:pP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市住房城乡建设局</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是本市商品房预售资金监管主管部门（以下简称监管</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主管</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部门），具体负责本市城市规划区内取得预售许可的新建商品房预售资金的监管并组织本</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办法</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的实施。</w:t>
      </w:r>
    </w:p>
    <w:p>
      <w:pPr>
        <w:pStyle w:val="4"/>
        <w:keepNext w:val="0"/>
        <w:keepLines w:val="0"/>
        <w:pageBreakBefore w:val="0"/>
        <w:shd w:val="clear" w:color="auto" w:fill="FFFFFF"/>
        <w:kinsoku/>
        <w:wordWrap/>
        <w:overflowPunct/>
        <w:topLinePunct w:val="0"/>
        <w:autoSpaceDE/>
        <w:autoSpaceDN/>
        <w:bidi w:val="0"/>
        <w:adjustRightInd/>
        <w:snapToGrid w:val="0"/>
        <w:spacing w:beforeAutospacing="0" w:afterAutospacing="0" w:line="360" w:lineRule="auto"/>
        <w:ind w:firstLine="640" w:firstLineChars="200"/>
        <w:jc w:val="both"/>
        <w:textAlignment w:val="auto"/>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中国</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人民银行桂林市中心支行负责指导商业银行</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做好监管账户管理工作</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桂林</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银保监</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分局</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负责对商业银行预售资金监管的操作风险和合规性进行监督检查</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mallCap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开设商品房预售资金监管专用账户</w:t>
      </w:r>
      <w:r>
        <w:rPr>
          <w:rFonts w:hint="eastAsia" w:ascii="仿宋_GB2312" w:hAnsi="仿宋_GB2312" w:eastAsia="仿宋_GB2312" w:cs="仿宋_GB2312"/>
          <w:smallCaps w:val="0"/>
          <w:color w:val="auto"/>
          <w:kern w:val="0"/>
          <w:sz w:val="32"/>
          <w:szCs w:val="32"/>
          <w:u w:val="none"/>
          <w:lang w:eastAsia="zh-CN"/>
        </w:rPr>
        <w:t>并签订监管协议的中标</w:t>
      </w:r>
      <w:r>
        <w:rPr>
          <w:rFonts w:hint="eastAsia" w:ascii="仿宋_GB2312" w:hAnsi="仿宋_GB2312" w:eastAsia="仿宋_GB2312" w:cs="仿宋_GB2312"/>
          <w:smallCaps w:val="0"/>
          <w:color w:val="auto"/>
          <w:kern w:val="0"/>
          <w:sz w:val="32"/>
          <w:szCs w:val="32"/>
          <w:u w:val="none"/>
        </w:rPr>
        <w:t>商业银行</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（以下简称监管银行）按照监管协议要求</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配合监管主管部门实施</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监管工作</w:t>
      </w:r>
      <w:r>
        <w:rPr>
          <w:rFonts w:hint="eastAsia" w:ascii="仿宋_GB2312" w:hAnsi="仿宋_GB2312" w:eastAsia="仿宋_GB2312" w:cs="仿宋_GB2312"/>
          <w:smallCaps w:val="0"/>
          <w:color w:val="000000" w:themeColor="text1"/>
          <w:sz w:val="32"/>
          <w:szCs w:val="32"/>
          <w:u w:val="none"/>
          <w:lang w:val="en-US" w:eastAsia="zh-CN"/>
          <w14:textFill>
            <w14:solidFill>
              <w14:schemeClr w14:val="tx1"/>
            </w14:solidFill>
          </w14:textFill>
        </w:rPr>
        <w:t>。</w:t>
      </w:r>
    </w:p>
    <w:p>
      <w:pPr>
        <w:spacing w:line="360" w:lineRule="auto"/>
        <w:ind w:firstLine="643" w:firstLineChars="200"/>
        <w:jc w:val="center"/>
        <w:rPr>
          <w:rFonts w:hint="default" w:ascii="仿宋_GB2312" w:hAnsi="仿宋_GB2312" w:eastAsia="仿宋_GB2312" w:cs="仿宋_GB2312"/>
          <w:b/>
          <w:bCs/>
          <w:smallCap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smallCaps w:val="0"/>
          <w:color w:val="000000" w:themeColor="text1"/>
          <w:sz w:val="32"/>
          <w:szCs w:val="32"/>
          <w:u w:val="none"/>
          <w:lang w:val="en-US" w:eastAsia="zh-CN"/>
          <w14:textFill>
            <w14:solidFill>
              <w14:schemeClr w14:val="tx1"/>
            </w14:solidFill>
          </w14:textFill>
        </w:rPr>
        <w:t>第二章  监  管</w:t>
      </w:r>
    </w:p>
    <w:p>
      <w:pPr>
        <w:spacing w:line="360" w:lineRule="auto"/>
        <w:ind w:firstLine="643" w:firstLineChars="200"/>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bookmarkStart w:id="4" w:name="5"/>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第六条</w:t>
      </w:r>
      <w:bookmarkEnd w:id="4"/>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　商品房预售资金应当全部</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直接存</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入商品房预售资金监管账户。　</w:t>
      </w:r>
    </w:p>
    <w:p>
      <w:pPr>
        <w:spacing w:line="360" w:lineRule="auto"/>
        <w:ind w:left="0" w:leftChars="0" w:firstLine="643" w:firstLineChars="200"/>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第七条</w:t>
      </w:r>
      <w:r>
        <w:rPr>
          <w:rFonts w:hint="eastAsia" w:ascii="仿宋_GB2312" w:hAnsi="仿宋_GB2312" w:eastAsia="仿宋_GB2312" w:cs="仿宋_GB2312"/>
          <w:b/>
          <w:bCs/>
          <w:smallCaps w:val="0"/>
          <w:color w:val="000000" w:themeColor="text1"/>
          <w:kern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商品房预售资金监管期限，自核发《商品房预售许可证》之日起，至本项目完成</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房屋所有权首次登记</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止。</w:t>
      </w:r>
    </w:p>
    <w:p>
      <w:pPr>
        <w:widowControl/>
        <w:tabs>
          <w:tab w:val="left" w:pos="540"/>
          <w:tab w:val="left" w:pos="900"/>
        </w:tabs>
        <w:spacing w:line="360" w:lineRule="auto"/>
        <w:ind w:firstLine="643" w:firstLineChars="200"/>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bookmarkStart w:id="5" w:name="7"/>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第八条</w:t>
      </w:r>
      <w:bookmarkEnd w:id="5"/>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　</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按照</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一</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次</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预售</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许可申请对应</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一个监管账户</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的原则开设预售资金监管账户（以下简称监管账户），</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商品房预售期间未经批准不得变更或注销监管账户。</w:t>
      </w:r>
      <w:bookmarkStart w:id="6" w:name="8"/>
    </w:p>
    <w:p>
      <w:pPr>
        <w:widowControl/>
        <w:tabs>
          <w:tab w:val="left" w:pos="540"/>
          <w:tab w:val="left" w:pos="900"/>
        </w:tabs>
        <w:spacing w:line="360" w:lineRule="auto"/>
        <w:ind w:firstLine="643" w:firstLineChars="200"/>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pPr>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第九条</w:t>
      </w:r>
      <w:bookmarkEnd w:id="6"/>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　预售人申请商品房预售许可前，应当在</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中标的</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商业银行开立商品房预售资金监管专用账户，并与监管</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主管</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部门、监管银行共同签订</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商品房预售资金监管协议</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p>
    <w:p>
      <w:pPr>
        <w:widowControl/>
        <w:tabs>
          <w:tab w:val="left" w:pos="540"/>
          <w:tab w:val="left" w:pos="900"/>
        </w:tabs>
        <w:spacing w:line="360" w:lineRule="auto"/>
        <w:ind w:firstLine="643" w:firstLineChars="200"/>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第十条</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　预售人不得违反本</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办法</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规定自行收存商品房预售资金，不得向承购人以集资、借款、会员费等形式变相预售商品房，逃避资金监管。</w:t>
      </w:r>
    </w:p>
    <w:p>
      <w:pPr>
        <w:spacing w:line="360" w:lineRule="auto"/>
        <w:ind w:firstLine="643" w:firstLineChars="200"/>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bookmarkStart w:id="7" w:name="9"/>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第十一条</w:t>
      </w:r>
      <w:bookmarkEnd w:id="7"/>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　承购人应当将</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购房款</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直接存入监管账户内。</w:t>
      </w:r>
    </w:p>
    <w:p>
      <w:pPr>
        <w:spacing w:line="360" w:lineRule="auto"/>
        <w:ind w:firstLine="643" w:firstLineChars="200"/>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pPr>
      <w:bookmarkStart w:id="8" w:name="10"/>
      <w:r>
        <w:rPr>
          <w:rFonts w:hint="eastAsia" w:ascii="仿宋_GB2312" w:hAnsi="仿宋_GB2312" w:eastAsia="仿宋_GB2312" w:cs="仿宋_GB2312"/>
          <w:b/>
          <w:bCs/>
          <w:smallCaps w:val="0"/>
          <w:color w:val="000000" w:themeColor="text1"/>
          <w:sz w:val="32"/>
          <w:szCs w:val="32"/>
          <w:u w:val="none"/>
          <w14:textFill>
            <w14:solidFill>
              <w14:schemeClr w14:val="tx1"/>
            </w14:solidFill>
          </w14:textFill>
        </w:rPr>
        <w:t>第十二条</w:t>
      </w:r>
      <w:bookmarkEnd w:id="8"/>
      <w:r>
        <w:rPr>
          <w:rFonts w:hint="eastAsia" w:ascii="仿宋_GB2312" w:hAnsi="仿宋_GB2312" w:eastAsia="仿宋_GB2312" w:cs="仿宋_GB2312"/>
          <w:smallCaps w:val="0"/>
          <w:color w:val="000000" w:themeColor="text1"/>
          <w:sz w:val="32"/>
          <w:szCs w:val="32"/>
          <w:u w:val="none"/>
          <w14:textFill>
            <w14:solidFill>
              <w14:schemeClr w14:val="tx1"/>
            </w14:solidFill>
          </w14:textFill>
        </w:rPr>
        <w:t>　</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监管银行应将商品房预售资金全部存入监管账户内。未开立本预售项目监管账户的商业银行，不得收存本预售项目的商品房预售资金。</w:t>
      </w:r>
    </w:p>
    <w:p>
      <w:pPr>
        <w:spacing w:line="360" w:lineRule="auto"/>
        <w:ind w:firstLine="640" w:firstLineChars="200"/>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承购人采取按揭贷款购买商品房的，贷款银行应依据经</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住房城乡建设部门</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备案的商品房买卖合同，为承购人提供按揭贷款，按揭贷款必须直接划转入该项目监管账户内。</w:t>
      </w:r>
    </w:p>
    <w:p>
      <w:pPr>
        <w:spacing w:line="360" w:lineRule="auto"/>
        <w:ind w:firstLine="643" w:firstLineChars="200"/>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bookmarkStart w:id="9" w:name="11"/>
      <w:r>
        <w:rPr>
          <w:rFonts w:hint="eastAsia" w:ascii="仿宋_GB2312" w:hAnsi="仿宋_GB2312" w:eastAsia="仿宋_GB2312" w:cs="仿宋_GB2312"/>
          <w:b/>
          <w:bCs/>
          <w:smallCaps w:val="0"/>
          <w:color w:val="000000" w:themeColor="text1"/>
          <w:sz w:val="32"/>
          <w:szCs w:val="32"/>
          <w:u w:val="none"/>
          <w14:textFill>
            <w14:solidFill>
              <w14:schemeClr w14:val="tx1"/>
            </w14:solidFill>
          </w14:textFill>
        </w:rPr>
        <w:t>第十三条</w:t>
      </w:r>
      <w:bookmarkEnd w:id="9"/>
      <w:r>
        <w:rPr>
          <w:rFonts w:hint="eastAsia" w:ascii="仿宋_GB2312" w:hAnsi="仿宋_GB2312" w:eastAsia="仿宋_GB2312" w:cs="仿宋_GB2312"/>
          <w:smallCaps w:val="0"/>
          <w:color w:val="000000" w:themeColor="text1"/>
          <w:sz w:val="32"/>
          <w:szCs w:val="32"/>
          <w:u w:val="none"/>
          <w14:textFill>
            <w14:solidFill>
              <w14:schemeClr w14:val="tx1"/>
            </w14:solidFill>
          </w14:textFill>
        </w:rPr>
        <w:t>　</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预售人应将《商品房预售许可证》和本办法在预售场所公示。预售人与承购人签订的商品房买卖合同中，应当载明预售资金缴付情况和预售资金监管账户等有关内容。预售人应于合同订立之日起三十日内到</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住房城乡建设部门</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进行备案。</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b/>
          <w:bCs/>
          <w:smallCaps w:val="0"/>
          <w:color w:val="000000" w:themeColor="text1"/>
          <w:kern w:val="0"/>
          <w:sz w:val="32"/>
          <w:szCs w:val="32"/>
          <w:u w:val="none"/>
          <w:lang w:eastAsia="zh-CN"/>
          <w14:textFill>
            <w14:solidFill>
              <w14:schemeClr w14:val="tx1"/>
            </w14:solidFill>
          </w14:textFill>
        </w:rPr>
        <w:t>第十四条</w:t>
      </w:r>
      <w:r>
        <w:rPr>
          <w:rFonts w:hint="eastAsia"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smallCaps w:val="0"/>
          <w:color w:val="4472C4" w:themeColor="accent5"/>
          <w:kern w:val="0"/>
          <w:sz w:val="32"/>
          <w:szCs w:val="32"/>
          <w:u w:val="none"/>
          <w:lang w:val="en-US" w:eastAsia="zh-CN"/>
          <w14:textFill>
            <w14:solidFill>
              <w14:schemeClr w14:val="accent5"/>
            </w14:solidFill>
          </w14:textFill>
        </w:rPr>
        <w:t xml:space="preserve"> </w:t>
      </w:r>
      <w:r>
        <w:rPr>
          <w:rFonts w:hint="eastAsia" w:ascii="仿宋_GB2312" w:hAnsi="仿宋_GB2312" w:eastAsia="仿宋_GB2312" w:cs="仿宋_GB2312"/>
          <w:smallCaps w:val="0"/>
          <w:color w:val="auto"/>
          <w:kern w:val="0"/>
          <w:sz w:val="32"/>
          <w:szCs w:val="32"/>
          <w:u w:val="none"/>
          <w:lang w:val="en-US" w:eastAsia="zh-CN"/>
        </w:rPr>
        <w:t>商品房预售监管资金额度，按照不低于当年本市房屋建筑工程造价指标计算的预售项目总工程造价，确定为本预售项目应监管额度。</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监管账户内的</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商品房预售资金达到本</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预售</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项目</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监管额度</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后，</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超出监管额度的资金可由房地产开发企业提取使用，监管项目实际销售资金未达到应监管额度前，按实际销售额进行监管</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监管额度内的资金使用，须经</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监管</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主管</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部门</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核实同意。</w:t>
      </w:r>
    </w:p>
    <w:p>
      <w:pPr>
        <w:spacing w:line="360" w:lineRule="auto"/>
        <w:jc w:val="center"/>
        <w:rPr>
          <w:rFonts w:hint="eastAsia" w:ascii="仿宋_GB2312" w:hAnsi="仿宋_GB2312" w:eastAsia="仿宋_GB2312" w:cs="仿宋_GB2312"/>
          <w:b/>
          <w:bCs/>
          <w:smallCaps w:val="0"/>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b/>
          <w:bCs/>
          <w:smallCaps w:val="0"/>
          <w:color w:val="000000" w:themeColor="text1"/>
          <w:kern w:val="0"/>
          <w:sz w:val="32"/>
          <w:szCs w:val="32"/>
          <w:u w:val="none"/>
          <w:lang w:eastAsia="zh-CN"/>
          <w14:textFill>
            <w14:solidFill>
              <w14:schemeClr w14:val="tx1"/>
            </w14:solidFill>
          </w14:textFill>
        </w:rPr>
        <w:t>第三章</w:t>
      </w:r>
      <w:r>
        <w:rPr>
          <w:rFonts w:hint="eastAsia" w:ascii="仿宋_GB2312" w:hAnsi="仿宋_GB2312" w:eastAsia="仿宋_GB2312" w:cs="仿宋_GB2312"/>
          <w:b/>
          <w:bCs/>
          <w:smallCaps w:val="0"/>
          <w:color w:val="000000" w:themeColor="text1"/>
          <w:kern w:val="0"/>
          <w:sz w:val="32"/>
          <w:szCs w:val="32"/>
          <w:u w:val="none"/>
          <w:lang w:val="en-US" w:eastAsia="zh-CN"/>
          <w14:textFill>
            <w14:solidFill>
              <w14:schemeClr w14:val="tx1"/>
            </w14:solidFill>
          </w14:textFill>
        </w:rPr>
        <w:t xml:space="preserve">  使 用</w:t>
      </w:r>
    </w:p>
    <w:p>
      <w:pPr>
        <w:spacing w:line="360" w:lineRule="auto"/>
        <w:ind w:firstLine="643" w:firstLineChars="200"/>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pPr>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第十</w:t>
      </w:r>
      <w:r>
        <w:rPr>
          <w:rFonts w:hint="eastAsia" w:ascii="仿宋_GB2312" w:hAnsi="仿宋_GB2312" w:eastAsia="仿宋_GB2312" w:cs="仿宋_GB2312"/>
          <w:b/>
          <w:bCs/>
          <w:smallCaps w:val="0"/>
          <w:color w:val="000000" w:themeColor="text1"/>
          <w:kern w:val="0"/>
          <w:sz w:val="32"/>
          <w:szCs w:val="32"/>
          <w:u w:val="none"/>
          <w:lang w:eastAsia="zh-CN"/>
          <w14:textFill>
            <w14:solidFill>
              <w14:schemeClr w14:val="tx1"/>
            </w14:solidFill>
          </w14:textFill>
        </w:rPr>
        <w:t>五</w:t>
      </w:r>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条</w:t>
      </w:r>
      <w:r>
        <w:rPr>
          <w:rFonts w:hint="eastAsia"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预售人应当根据项目建设方案及施工进度编制预售项目用款计划。用款计划应按照</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完成工程形象进度</w:t>
      </w:r>
      <w:r>
        <w:rPr>
          <w:rFonts w:hint="eastAsia"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t>50%</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t>75%、主体</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结构封顶、完成</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五方</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竣工验收</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、完成房屋所有权首次登记</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等</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五</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个环节设置资金使用节点，并合理确定每个节点的用款额度。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项目</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完成工程形象进度</w:t>
      </w:r>
      <w:r>
        <w:rPr>
          <w:rFonts w:hint="eastAsia"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t>50%前</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，专用账户内的资金留存额度</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不得低于应监管资金的</w:t>
      </w:r>
      <w:r>
        <w:rPr>
          <w:rFonts w:hint="eastAsia"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t>70%</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项目</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完成工程形象进度</w:t>
      </w:r>
      <w:r>
        <w:rPr>
          <w:rFonts w:hint="eastAsia"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t>75%前</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，专用账户内的资金留存额度</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不得低于应监管资金的</w:t>
      </w:r>
      <w:r>
        <w:rPr>
          <w:rFonts w:hint="eastAsia"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t>50%</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项目完成结构封顶</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前</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，专用账户内的资金留存额度</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不得低于应监管资金的</w:t>
      </w:r>
      <w:r>
        <w:rPr>
          <w:rFonts w:hint="eastAsia"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t>40%</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项目完成</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五方竣工验收前</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，专用账户内的资金留存额度</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不得低于应监管资金的</w:t>
      </w:r>
      <w:r>
        <w:rPr>
          <w:rFonts w:hint="eastAsia"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t>20%</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项目完成五方验收至完成</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房屋所有权首次登记</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期间，专用账户内的资金不得低于</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应监管资金的</w:t>
      </w:r>
      <w:r>
        <w:rPr>
          <w:rFonts w:hint="eastAsia"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t>15%</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pPr>
      <w:r>
        <w:rPr>
          <w:rFonts w:hint="eastAsia" w:ascii="仿宋_GB2312" w:hAnsi="仿宋_GB2312" w:eastAsia="仿宋_GB2312" w:cs="仿宋_GB2312"/>
          <w:b/>
          <w:bCs/>
          <w:smallCaps w:val="0"/>
          <w:color w:val="000000" w:themeColor="text1"/>
          <w:kern w:val="0"/>
          <w:sz w:val="32"/>
          <w:szCs w:val="32"/>
          <w:u w:val="none"/>
          <w:lang w:eastAsia="zh-CN"/>
          <w14:textFill>
            <w14:solidFill>
              <w14:schemeClr w14:val="tx1"/>
            </w14:solidFill>
          </w14:textFill>
        </w:rPr>
        <w:t>第十六条</w:t>
      </w:r>
      <w:r>
        <w:rPr>
          <w:rFonts w:hint="eastAsia" w:ascii="仿宋_GB2312" w:hAnsi="仿宋_GB2312" w:eastAsia="仿宋_GB2312" w:cs="仿宋_GB2312"/>
          <w:b/>
          <w:bCs/>
          <w:smallCaps w:val="0"/>
          <w:color w:val="000000" w:themeColor="text1"/>
          <w:kern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使用商品房预售</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监管额度内</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资金应依照以下程序：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（一）预售人应持相关用款证明材料</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先</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向</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监管银行</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提交用款申请</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，监管银行负责对提交用款资料进行初审。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mallCaps w:val="0"/>
          <w:color w:val="000000" w:themeColor="text1"/>
          <w:sz w:val="32"/>
          <w:szCs w:val="32"/>
          <w:u w:val="none"/>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（二）监管</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主管部门</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核查用款</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资</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料，支付工程款的，还应到现场查看工程进度情况</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对符合</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用款</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条件的</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申请</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，3个工作日内</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出具拨付用款通知给监管银行，监管银行应在收到拨付用款通知起2个工作日内办理拨款手续</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　　</w:t>
      </w:r>
      <w:bookmarkStart w:id="10" w:name="1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bCs/>
          <w:smallCaps w:val="0"/>
          <w:color w:val="000000" w:themeColor="text1"/>
          <w:sz w:val="32"/>
          <w:szCs w:val="32"/>
          <w:u w:val="none"/>
          <w14:textFill>
            <w14:solidFill>
              <w14:schemeClr w14:val="tx1"/>
            </w14:solidFill>
          </w14:textFill>
        </w:rPr>
        <w:t>第十</w:t>
      </w:r>
      <w:r>
        <w:rPr>
          <w:rFonts w:hint="eastAsia" w:ascii="仿宋_GB2312" w:hAnsi="仿宋_GB2312" w:eastAsia="仿宋_GB2312" w:cs="仿宋_GB2312"/>
          <w:b/>
          <w:bCs/>
          <w:smallCaps w:val="0"/>
          <w:color w:val="000000" w:themeColor="text1"/>
          <w:sz w:val="32"/>
          <w:szCs w:val="32"/>
          <w:u w:val="none"/>
          <w:lang w:eastAsia="zh-CN"/>
          <w14:textFill>
            <w14:solidFill>
              <w14:schemeClr w14:val="tx1"/>
            </w14:solidFill>
          </w14:textFill>
        </w:rPr>
        <w:t>七</w:t>
      </w:r>
      <w:r>
        <w:rPr>
          <w:rFonts w:hint="eastAsia" w:ascii="仿宋_GB2312" w:hAnsi="仿宋_GB2312" w:eastAsia="仿宋_GB2312" w:cs="仿宋_GB2312"/>
          <w:b/>
          <w:bCs/>
          <w:smallCaps w:val="0"/>
          <w:color w:val="000000" w:themeColor="text1"/>
          <w:sz w:val="32"/>
          <w:szCs w:val="32"/>
          <w:u w:val="none"/>
          <w14:textFill>
            <w14:solidFill>
              <w14:schemeClr w14:val="tx1"/>
            </w14:solidFill>
          </w14:textFill>
        </w:rPr>
        <w:t>条</w:t>
      </w:r>
      <w:bookmarkEnd w:id="10"/>
      <w:r>
        <w:rPr>
          <w:rFonts w:hint="eastAsia" w:ascii="仿宋_GB2312" w:hAnsi="仿宋_GB2312" w:eastAsia="仿宋_GB2312" w:cs="仿宋_GB2312"/>
          <w:smallCaps w:val="0"/>
          <w:color w:val="000000" w:themeColor="text1"/>
          <w:sz w:val="32"/>
          <w:szCs w:val="32"/>
          <w:u w:val="none"/>
          <w14:textFill>
            <w14:solidFill>
              <w14:schemeClr w14:val="tx1"/>
            </w14:solidFill>
          </w14:textFill>
        </w:rPr>
        <w:t>　监管银行在本预售项目预售中期和所</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监管</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楼栋</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完成房屋所有权首次登记</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后，应分别向监管</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主管</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部门提交本预售项目的中期监管情况报告和预售资金监管完成情况报告。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mallCaps w:val="0"/>
          <w:color w:val="000000" w:themeColor="text1"/>
          <w:sz w:val="32"/>
          <w:szCs w:val="32"/>
          <w:u w:val="none"/>
          <w14:textFill>
            <w14:solidFill>
              <w14:schemeClr w14:val="tx1"/>
            </w14:solidFill>
          </w14:textFill>
        </w:rPr>
      </w:pPr>
      <w:bookmarkStart w:id="11" w:name="14"/>
      <w:r>
        <w:rPr>
          <w:rFonts w:hint="eastAsia" w:ascii="仿宋_GB2312" w:hAnsi="仿宋_GB2312" w:eastAsia="仿宋_GB2312" w:cs="仿宋_GB2312"/>
          <w:b/>
          <w:bCs/>
          <w:smallCaps w:val="0"/>
          <w:color w:val="000000" w:themeColor="text1"/>
          <w:sz w:val="32"/>
          <w:szCs w:val="32"/>
          <w:u w:val="none"/>
          <w14:textFill>
            <w14:solidFill>
              <w14:schemeClr w14:val="tx1"/>
            </w14:solidFill>
          </w14:textFill>
        </w:rPr>
        <w:t>第十</w:t>
      </w:r>
      <w:r>
        <w:rPr>
          <w:rFonts w:hint="eastAsia" w:ascii="仿宋_GB2312" w:hAnsi="仿宋_GB2312" w:eastAsia="仿宋_GB2312" w:cs="仿宋_GB2312"/>
          <w:b/>
          <w:bCs/>
          <w:smallCaps w:val="0"/>
          <w:color w:val="000000" w:themeColor="text1"/>
          <w:sz w:val="32"/>
          <w:szCs w:val="32"/>
          <w:u w:val="none"/>
          <w:lang w:eastAsia="zh-CN"/>
          <w14:textFill>
            <w14:solidFill>
              <w14:schemeClr w14:val="tx1"/>
            </w14:solidFill>
          </w14:textFill>
        </w:rPr>
        <w:t>八</w:t>
      </w:r>
      <w:r>
        <w:rPr>
          <w:rFonts w:hint="eastAsia" w:ascii="仿宋_GB2312" w:hAnsi="仿宋_GB2312" w:eastAsia="仿宋_GB2312" w:cs="仿宋_GB2312"/>
          <w:b/>
          <w:bCs/>
          <w:smallCaps w:val="0"/>
          <w:color w:val="000000" w:themeColor="text1"/>
          <w:sz w:val="32"/>
          <w:szCs w:val="32"/>
          <w:u w:val="none"/>
          <w14:textFill>
            <w14:solidFill>
              <w14:schemeClr w14:val="tx1"/>
            </w14:solidFill>
          </w14:textFill>
        </w:rPr>
        <w:t>条</w:t>
      </w:r>
      <w:bookmarkEnd w:id="11"/>
      <w:r>
        <w:rPr>
          <w:rFonts w:hint="eastAsia" w:ascii="仿宋_GB2312" w:hAnsi="仿宋_GB2312" w:eastAsia="仿宋_GB2312" w:cs="仿宋_GB2312"/>
          <w:b/>
          <w:bCs/>
          <w:smallCaps w:val="0"/>
          <w:color w:val="000000" w:themeColor="text1"/>
          <w:sz w:val="32"/>
          <w:szCs w:val="32"/>
          <w:u w:val="none"/>
          <w14:textFill>
            <w14:solidFill>
              <w14:schemeClr w14:val="tx1"/>
            </w14:solidFill>
          </w14:textFill>
        </w:rPr>
        <w:t>　</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预售项目办理</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房屋所有权首次登记</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手续后，</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预售人申请解除监管的，经监管主管部门核实同意，</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方可解除监管。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mallCaps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bCs/>
          <w:smallCaps w:val="0"/>
          <w:color w:val="000000" w:themeColor="text1"/>
          <w:sz w:val="32"/>
          <w:szCs w:val="32"/>
          <w:u w:val="none"/>
          <w:lang w:eastAsia="zh-CN"/>
          <w14:textFill>
            <w14:solidFill>
              <w14:schemeClr w14:val="tx1"/>
            </w14:solidFill>
          </w14:textFill>
        </w:rPr>
        <w:t>第四章</w:t>
      </w:r>
      <w:r>
        <w:rPr>
          <w:rFonts w:hint="eastAsia" w:ascii="仿宋_GB2312" w:hAnsi="仿宋_GB2312" w:eastAsia="仿宋_GB2312" w:cs="仿宋_GB2312"/>
          <w:b/>
          <w:bCs/>
          <w:smallCaps w:val="0"/>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bCs/>
          <w:smallCaps w:val="0"/>
          <w:color w:val="000000" w:themeColor="text1"/>
          <w:sz w:val="32"/>
          <w:szCs w:val="32"/>
          <w:u w:val="none"/>
          <w:lang w:eastAsia="zh-CN"/>
          <w14:textFill>
            <w14:solidFill>
              <w14:schemeClr w14:val="tx1"/>
            </w14:solidFill>
          </w14:textFill>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mallCaps w:val="0"/>
          <w:color w:val="000000" w:themeColor="text1"/>
          <w:sz w:val="32"/>
          <w:szCs w:val="32"/>
          <w:u w:val="none"/>
          <w14:textFill>
            <w14:solidFill>
              <w14:schemeClr w14:val="tx1"/>
            </w14:solidFill>
          </w14:textFill>
        </w:rPr>
      </w:pPr>
      <w:bookmarkStart w:id="12" w:name="15"/>
      <w:r>
        <w:rPr>
          <w:rFonts w:hint="eastAsia" w:ascii="仿宋_GB2312" w:hAnsi="仿宋_GB2312" w:eastAsia="仿宋_GB2312" w:cs="仿宋_GB2312"/>
          <w:b/>
          <w:bCs/>
          <w:smallCaps w:val="0"/>
          <w:color w:val="000000" w:themeColor="text1"/>
          <w:sz w:val="32"/>
          <w:szCs w:val="32"/>
          <w:u w:val="none"/>
          <w14:textFill>
            <w14:solidFill>
              <w14:schemeClr w14:val="tx1"/>
            </w14:solidFill>
          </w14:textFill>
        </w:rPr>
        <w:t>第十</w:t>
      </w:r>
      <w:r>
        <w:rPr>
          <w:rFonts w:hint="eastAsia" w:ascii="仿宋_GB2312" w:hAnsi="仿宋_GB2312" w:eastAsia="仿宋_GB2312" w:cs="仿宋_GB2312"/>
          <w:b/>
          <w:bCs/>
          <w:smallCaps w:val="0"/>
          <w:color w:val="000000" w:themeColor="text1"/>
          <w:sz w:val="32"/>
          <w:szCs w:val="32"/>
          <w:u w:val="none"/>
          <w:lang w:eastAsia="zh-CN"/>
          <w14:textFill>
            <w14:solidFill>
              <w14:schemeClr w14:val="tx1"/>
            </w14:solidFill>
          </w14:textFill>
        </w:rPr>
        <w:t>九</w:t>
      </w:r>
      <w:r>
        <w:rPr>
          <w:rFonts w:hint="eastAsia" w:ascii="仿宋_GB2312" w:hAnsi="仿宋_GB2312" w:eastAsia="仿宋_GB2312" w:cs="仿宋_GB2312"/>
          <w:b/>
          <w:bCs/>
          <w:smallCaps w:val="0"/>
          <w:color w:val="000000" w:themeColor="text1"/>
          <w:sz w:val="32"/>
          <w:szCs w:val="32"/>
          <w:u w:val="none"/>
          <w14:textFill>
            <w14:solidFill>
              <w14:schemeClr w14:val="tx1"/>
            </w14:solidFill>
          </w14:textFill>
        </w:rPr>
        <w:t>条</w:t>
      </w:r>
      <w:bookmarkEnd w:id="12"/>
      <w:r>
        <w:rPr>
          <w:rFonts w:hint="eastAsia" w:ascii="仿宋_GB2312" w:hAnsi="仿宋_GB2312" w:eastAsia="仿宋_GB2312" w:cs="仿宋_GB2312"/>
          <w:smallCaps w:val="0"/>
          <w:color w:val="000000" w:themeColor="text1"/>
          <w:sz w:val="32"/>
          <w:szCs w:val="32"/>
          <w:u w:val="none"/>
          <w14:textFill>
            <w14:solidFill>
              <w14:schemeClr w14:val="tx1"/>
            </w14:solidFill>
          </w14:textFill>
        </w:rPr>
        <w:t>　预售人</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违反第十条规定</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或采取提供虚假资料骗取商品房预售</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监管</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资金</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的</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，由此造成的法律责任由预售人承担，并由监管</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主管</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部门责令限期改正，公示其不良行为，向相关部门通报，记入不良信息档案</w:t>
      </w:r>
      <w:r>
        <w:rPr>
          <w:rFonts w:hint="eastAsia" w:ascii="仿宋_GB2312" w:hAnsi="仿宋_GB2312" w:eastAsia="仿宋_GB2312" w:cs="仿宋_GB2312"/>
          <w:smallCaps w:val="0"/>
          <w:color w:val="000000" w:themeColor="text1"/>
          <w:sz w:val="32"/>
          <w:szCs w:val="32"/>
          <w:u w:val="none"/>
          <w:lang w:eastAsia="zh-CN"/>
          <w14:textFill>
            <w14:solidFill>
              <w14:schemeClr w14:val="tx1"/>
            </w14:solidFill>
          </w14:textFill>
        </w:rPr>
        <w:t>，并提高</w:t>
      </w:r>
      <w:r>
        <w:rPr>
          <w:rFonts w:hint="eastAsia" w:ascii="仿宋_GB2312" w:hAnsi="仿宋_GB2312" w:eastAsia="仿宋_GB2312" w:cs="仿宋_GB2312"/>
          <w:smallCaps w:val="0"/>
          <w:color w:val="000000" w:themeColor="text1"/>
          <w:sz w:val="32"/>
          <w:szCs w:val="32"/>
          <w:u w:val="none"/>
          <w:lang w:val="en-US" w:eastAsia="zh-CN"/>
          <w14:textFill>
            <w14:solidFill>
              <w14:schemeClr w14:val="tx1"/>
            </w14:solidFill>
          </w14:textFill>
        </w:rPr>
        <w:t>50%的监管额度进行监管</w:t>
      </w:r>
      <w:r>
        <w:rPr>
          <w:rFonts w:hint="eastAsia" w:ascii="仿宋_GB2312" w:hAnsi="仿宋_GB2312" w:eastAsia="仿宋_GB2312" w:cs="仿宋_GB2312"/>
          <w:smallCaps w:val="0"/>
          <w:color w:val="000000" w:themeColor="text1"/>
          <w:sz w:val="32"/>
          <w:szCs w:val="32"/>
          <w:u w:val="none"/>
          <w14:textFill>
            <w14:solidFill>
              <w14:schemeClr w14:val="tx1"/>
            </w14:solidFill>
          </w14:textFill>
        </w:rPr>
        <w:t>。</w:t>
      </w:r>
    </w:p>
    <w:p>
      <w:pPr>
        <w:tabs>
          <w:tab w:val="left" w:pos="540"/>
          <w:tab w:val="left" w:pos="720"/>
          <w:tab w:val="left" w:pos="900"/>
        </w:tabs>
        <w:spacing w:line="360" w:lineRule="auto"/>
        <w:ind w:firstLine="643" w:firstLineChars="200"/>
        <w:rPr>
          <w:rFonts w:hint="eastAsia" w:ascii="仿宋_GB2312" w:hAnsi="仿宋_GB2312" w:eastAsia="仿宋_GB2312" w:cs="仿宋_GB2312"/>
          <w:smallCaps w:val="0"/>
          <w:color w:val="auto"/>
          <w:kern w:val="0"/>
          <w:sz w:val="32"/>
          <w:szCs w:val="32"/>
          <w:u w:val="none"/>
          <w:lang w:eastAsia="zh-CN"/>
        </w:rPr>
      </w:pPr>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第</w:t>
      </w:r>
      <w:r>
        <w:rPr>
          <w:rFonts w:hint="eastAsia" w:ascii="仿宋_GB2312" w:hAnsi="仿宋_GB2312" w:eastAsia="仿宋_GB2312" w:cs="仿宋_GB2312"/>
          <w:b/>
          <w:bCs/>
          <w:smallCaps w:val="0"/>
          <w:color w:val="000000" w:themeColor="text1"/>
          <w:kern w:val="0"/>
          <w:sz w:val="32"/>
          <w:szCs w:val="32"/>
          <w:u w:val="none"/>
          <w:lang w:eastAsia="zh-CN"/>
          <w14:textFill>
            <w14:solidFill>
              <w14:schemeClr w14:val="tx1"/>
            </w14:solidFill>
          </w14:textFill>
        </w:rPr>
        <w:t>二</w:t>
      </w:r>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十条　</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商品房预售项目在预售期间出现工程建设停工</w:t>
      </w:r>
      <w:r>
        <w:rPr>
          <w:rFonts w:hint="eastAsia" w:ascii="仿宋_GB2312" w:hAnsi="仿宋_GB2312" w:eastAsia="仿宋_GB2312" w:cs="仿宋_GB2312"/>
          <w:smallCaps w:val="0"/>
          <w:color w:val="auto"/>
          <w:kern w:val="0"/>
          <w:sz w:val="32"/>
          <w:szCs w:val="32"/>
          <w:u w:val="none"/>
          <w:lang w:val="en-US" w:eastAsia="zh-CN"/>
        </w:rPr>
        <w:t>半年以上</w:t>
      </w:r>
      <w:r>
        <w:rPr>
          <w:rFonts w:hint="eastAsia" w:ascii="仿宋_GB2312" w:hAnsi="仿宋_GB2312" w:eastAsia="仿宋_GB2312" w:cs="仿宋_GB2312"/>
          <w:smallCaps w:val="0"/>
          <w:color w:val="auto"/>
          <w:kern w:val="0"/>
          <w:sz w:val="32"/>
          <w:szCs w:val="32"/>
          <w:u w:val="none"/>
        </w:rPr>
        <w:t>的，</w:t>
      </w:r>
      <w:r>
        <w:rPr>
          <w:rFonts w:hint="eastAsia" w:ascii="仿宋_GB2312" w:hAnsi="仿宋_GB2312" w:eastAsia="仿宋_GB2312" w:cs="仿宋_GB2312"/>
          <w:smallCaps w:val="0"/>
          <w:color w:val="auto"/>
          <w:kern w:val="0"/>
          <w:sz w:val="32"/>
          <w:szCs w:val="32"/>
          <w:u w:val="none"/>
          <w:lang w:eastAsia="zh-CN"/>
        </w:rPr>
        <w:t>监管主管部门可以暂停监管账户的资金支取，并暂停该项目</w:t>
      </w:r>
      <w:r>
        <w:rPr>
          <w:rFonts w:hint="eastAsia" w:ascii="仿宋_GB2312" w:hAnsi="仿宋_GB2312" w:eastAsia="仿宋_GB2312" w:cs="仿宋_GB2312"/>
          <w:smallCaps w:val="0"/>
          <w:color w:val="auto"/>
          <w:kern w:val="0"/>
          <w:sz w:val="32"/>
          <w:szCs w:val="32"/>
          <w:u w:val="none"/>
        </w:rPr>
        <w:t>预售直至项目工程建设恢复正常施工为止。</w:t>
      </w:r>
    </w:p>
    <w:p>
      <w:pPr>
        <w:tabs>
          <w:tab w:val="left" w:pos="540"/>
          <w:tab w:val="left" w:pos="720"/>
          <w:tab w:val="left" w:pos="900"/>
        </w:tabs>
        <w:spacing w:line="360" w:lineRule="auto"/>
        <w:ind w:firstLine="643" w:firstLineChars="200"/>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bookmarkStart w:id="13" w:name="17"/>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第二十</w:t>
      </w:r>
      <w:r>
        <w:rPr>
          <w:rFonts w:hint="eastAsia" w:ascii="仿宋_GB2312" w:hAnsi="仿宋_GB2312" w:eastAsia="仿宋_GB2312" w:cs="仿宋_GB2312"/>
          <w:b/>
          <w:bCs/>
          <w:smallCaps w:val="0"/>
          <w:color w:val="000000" w:themeColor="text1"/>
          <w:kern w:val="0"/>
          <w:sz w:val="32"/>
          <w:szCs w:val="32"/>
          <w:u w:val="none"/>
          <w:lang w:eastAsia="zh-CN"/>
          <w14:textFill>
            <w14:solidFill>
              <w14:schemeClr w14:val="tx1"/>
            </w14:solidFill>
          </w14:textFill>
        </w:rPr>
        <w:t>一</w:t>
      </w:r>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条</w:t>
      </w:r>
      <w:bookmarkEnd w:id="13"/>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　监管银行因监管不力，致使预售人超前、超额支取商品房预售</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监管</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资金，造成工程无法按期竣工的，应承担相应的法律责任。</w:t>
      </w:r>
    </w:p>
    <w:p>
      <w:pPr>
        <w:tabs>
          <w:tab w:val="left" w:pos="540"/>
          <w:tab w:val="left" w:pos="720"/>
          <w:tab w:val="left" w:pos="900"/>
        </w:tabs>
        <w:spacing w:line="360" w:lineRule="auto"/>
        <w:ind w:firstLine="640" w:firstLineChars="200"/>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商业银行违反本</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办法</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第十</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二</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条规定或</w:t>
      </w:r>
      <w:r>
        <w:rPr>
          <w:rFonts w:hint="eastAsia" w:ascii="仿宋_GB2312" w:hAnsi="仿宋_GB2312" w:eastAsia="仿宋_GB2312" w:cs="仿宋_GB2312"/>
          <w:smallCaps w:val="0"/>
          <w:color w:val="auto"/>
          <w:kern w:val="0"/>
          <w:sz w:val="32"/>
          <w:szCs w:val="32"/>
          <w:u w:val="none"/>
          <w:lang w:eastAsia="zh-CN"/>
        </w:rPr>
        <w:t>监管银行擅</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自划拨监管额度内</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资金</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的</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应当负责追回资金</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无法追回的依法承担相应赔偿</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责任。　</w:t>
      </w:r>
    </w:p>
    <w:p>
      <w:pPr>
        <w:tabs>
          <w:tab w:val="left" w:pos="540"/>
          <w:tab w:val="left" w:pos="720"/>
          <w:tab w:val="left" w:pos="900"/>
        </w:tabs>
        <w:spacing w:line="360" w:lineRule="auto"/>
        <w:ind w:firstLine="640" w:firstLineChars="200"/>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pP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监管</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主管</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部门公示以上不良行为，并分别向</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中国</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人民银行桂林</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市</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中心支行、桂林</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银保监</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分局通报，记入不良信息档案，</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并</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取消其1至3年的商品房预售资金监管业务资格。</w:t>
      </w:r>
    </w:p>
    <w:p>
      <w:pPr>
        <w:tabs>
          <w:tab w:val="left" w:pos="540"/>
          <w:tab w:val="left" w:pos="720"/>
          <w:tab w:val="left" w:pos="900"/>
        </w:tabs>
        <w:spacing w:line="360" w:lineRule="auto"/>
        <w:ind w:firstLine="643" w:firstLineChars="200"/>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pPr>
      <w:bookmarkStart w:id="14" w:name="21"/>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第二十</w:t>
      </w:r>
      <w:r>
        <w:rPr>
          <w:rFonts w:hint="eastAsia" w:ascii="仿宋_GB2312" w:hAnsi="仿宋_GB2312" w:eastAsia="仿宋_GB2312" w:cs="仿宋_GB2312"/>
          <w:b/>
          <w:bCs/>
          <w:smallCaps w:val="0"/>
          <w:color w:val="000000" w:themeColor="text1"/>
          <w:kern w:val="0"/>
          <w:sz w:val="32"/>
          <w:szCs w:val="32"/>
          <w:u w:val="none"/>
          <w:lang w:eastAsia="zh-CN"/>
          <w14:textFill>
            <w14:solidFill>
              <w14:schemeClr w14:val="tx1"/>
            </w14:solidFill>
          </w14:textFill>
        </w:rPr>
        <w:t>二</w:t>
      </w:r>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条</w:t>
      </w:r>
      <w:bookmarkEnd w:id="14"/>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　本市所辖各县</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市</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商品房预售资金监管，可参照本</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办法</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执行。</w:t>
      </w:r>
    </w:p>
    <w:p>
      <w:pPr>
        <w:tabs>
          <w:tab w:val="left" w:pos="540"/>
          <w:tab w:val="left" w:pos="720"/>
          <w:tab w:val="left" w:pos="900"/>
        </w:tabs>
        <w:spacing w:line="360" w:lineRule="auto"/>
        <w:ind w:firstLine="643" w:firstLineChars="200"/>
        <w:rPr>
          <w:rFonts w:hint="default" w:ascii="仿宋_GB2312" w:hAnsi="仿宋_GB2312" w:eastAsia="仿宋_GB2312" w:cs="仿宋_GB2312"/>
          <w:smallCap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mallCaps w:val="0"/>
          <w:color w:val="000000" w:themeColor="text1"/>
          <w:kern w:val="0"/>
          <w:sz w:val="32"/>
          <w:szCs w:val="32"/>
          <w:u w:val="none"/>
          <w14:textFill>
            <w14:solidFill>
              <w14:schemeClr w14:val="tx1"/>
            </w14:solidFill>
          </w14:textFill>
        </w:rPr>
        <w:t>第二十三条</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　</w:t>
      </w:r>
      <w:r>
        <w:rPr>
          <w:rFonts w:hint="eastAsia" w:ascii="仿宋_GB2312" w:hAnsi="仿宋_GB2312" w:eastAsia="仿宋_GB2312" w:cs="仿宋_GB2312"/>
          <w:smallCaps w:val="0"/>
          <w:color w:val="000000" w:themeColor="text1"/>
          <w:kern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本</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办法</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自印发之日起施行，有效期</w:t>
      </w:r>
      <w:r>
        <w:rPr>
          <w:rFonts w:hint="eastAsia" w:ascii="仿宋_GB2312" w:hAnsi="仿宋_GB2312" w:eastAsia="仿宋_GB2312" w:cs="仿宋_GB2312"/>
          <w:smallCaps w:val="0"/>
          <w:color w:val="000000" w:themeColor="text1"/>
          <w:kern w:val="0"/>
          <w:sz w:val="32"/>
          <w:szCs w:val="32"/>
          <w:u w:val="none"/>
          <w:lang w:eastAsia="zh-CN"/>
          <w14:textFill>
            <w14:solidFill>
              <w14:schemeClr w14:val="tx1"/>
            </w14:solidFill>
          </w14:textFill>
        </w:rPr>
        <w:t>五</w:t>
      </w:r>
      <w:r>
        <w:rPr>
          <w:rFonts w:hint="eastAsia" w:ascii="仿宋_GB2312" w:hAnsi="仿宋_GB2312" w:eastAsia="仿宋_GB2312" w:cs="仿宋_GB2312"/>
          <w:smallCaps w:val="0"/>
          <w:color w:val="000000" w:themeColor="text1"/>
          <w:kern w:val="0"/>
          <w:sz w:val="32"/>
          <w:szCs w:val="32"/>
          <w:u w:val="none"/>
          <w14:textFill>
            <w14:solidFill>
              <w14:schemeClr w14:val="tx1"/>
            </w14:solidFill>
          </w14:textFill>
        </w:rPr>
        <w:t>年。</w:t>
      </w:r>
    </w:p>
    <w:p>
      <w:pPr>
        <w:tabs>
          <w:tab w:val="left" w:pos="540"/>
          <w:tab w:val="left" w:pos="720"/>
          <w:tab w:val="left" w:pos="900"/>
        </w:tabs>
        <w:spacing w:line="360" w:lineRule="auto"/>
        <w:ind w:firstLine="480"/>
        <w:rPr>
          <w:rFonts w:hint="eastAsia" w:ascii="仿宋_GB2312" w:hAnsi="仿宋_GB2312" w:eastAsia="仿宋_GB2312" w:cs="仿宋_GB2312"/>
          <w:kern w:val="0"/>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0NDBkNzBiMTg0N2FjZThhODRiNWNhNjJiN2ExMjcifQ=="/>
  </w:docVars>
  <w:rsids>
    <w:rsidRoot w:val="436F4A95"/>
    <w:rsid w:val="00141853"/>
    <w:rsid w:val="003B6F5A"/>
    <w:rsid w:val="00440D09"/>
    <w:rsid w:val="00684A43"/>
    <w:rsid w:val="00992BF2"/>
    <w:rsid w:val="01994495"/>
    <w:rsid w:val="072F2CCA"/>
    <w:rsid w:val="07F36F95"/>
    <w:rsid w:val="08A3783C"/>
    <w:rsid w:val="0AF11C39"/>
    <w:rsid w:val="0BCD6399"/>
    <w:rsid w:val="0C7958B5"/>
    <w:rsid w:val="0CDC3349"/>
    <w:rsid w:val="0F7D7756"/>
    <w:rsid w:val="10911973"/>
    <w:rsid w:val="170464D4"/>
    <w:rsid w:val="1761154A"/>
    <w:rsid w:val="19A811FA"/>
    <w:rsid w:val="1A294B27"/>
    <w:rsid w:val="1A2A6A59"/>
    <w:rsid w:val="1BF15DCA"/>
    <w:rsid w:val="1FB1344C"/>
    <w:rsid w:val="20122EB1"/>
    <w:rsid w:val="20A70A65"/>
    <w:rsid w:val="2290008E"/>
    <w:rsid w:val="235F5A6B"/>
    <w:rsid w:val="24C852B1"/>
    <w:rsid w:val="26214C98"/>
    <w:rsid w:val="26C17778"/>
    <w:rsid w:val="291063F0"/>
    <w:rsid w:val="295F24FE"/>
    <w:rsid w:val="297D4401"/>
    <w:rsid w:val="2A4F2986"/>
    <w:rsid w:val="2CB565D1"/>
    <w:rsid w:val="2D1D4645"/>
    <w:rsid w:val="2E44767E"/>
    <w:rsid w:val="2ECF75C8"/>
    <w:rsid w:val="306A190B"/>
    <w:rsid w:val="31F1470A"/>
    <w:rsid w:val="37313B18"/>
    <w:rsid w:val="373F25CC"/>
    <w:rsid w:val="37E6387B"/>
    <w:rsid w:val="3B026378"/>
    <w:rsid w:val="3D0B5567"/>
    <w:rsid w:val="404816BE"/>
    <w:rsid w:val="4057033A"/>
    <w:rsid w:val="418063C1"/>
    <w:rsid w:val="423B62E3"/>
    <w:rsid w:val="436F4A95"/>
    <w:rsid w:val="44E93C82"/>
    <w:rsid w:val="459E3E5E"/>
    <w:rsid w:val="463D3FCB"/>
    <w:rsid w:val="46C04FE1"/>
    <w:rsid w:val="48C41BB3"/>
    <w:rsid w:val="49035B7F"/>
    <w:rsid w:val="4A39741D"/>
    <w:rsid w:val="4B33268C"/>
    <w:rsid w:val="4CF936CE"/>
    <w:rsid w:val="4EC64038"/>
    <w:rsid w:val="515C1BCD"/>
    <w:rsid w:val="51C427BF"/>
    <w:rsid w:val="535D72C8"/>
    <w:rsid w:val="53BC0254"/>
    <w:rsid w:val="54617F1D"/>
    <w:rsid w:val="55246666"/>
    <w:rsid w:val="554802D7"/>
    <w:rsid w:val="55A92282"/>
    <w:rsid w:val="564229C9"/>
    <w:rsid w:val="565E685F"/>
    <w:rsid w:val="56F016B6"/>
    <w:rsid w:val="578B1937"/>
    <w:rsid w:val="58C504D1"/>
    <w:rsid w:val="5A433C77"/>
    <w:rsid w:val="5BFA0B2B"/>
    <w:rsid w:val="5C595B64"/>
    <w:rsid w:val="5D8806FD"/>
    <w:rsid w:val="603527DB"/>
    <w:rsid w:val="61D56DC3"/>
    <w:rsid w:val="64737C28"/>
    <w:rsid w:val="65A77832"/>
    <w:rsid w:val="663776FA"/>
    <w:rsid w:val="69E852ED"/>
    <w:rsid w:val="6A5D1BCA"/>
    <w:rsid w:val="6B661892"/>
    <w:rsid w:val="6C717C06"/>
    <w:rsid w:val="6D563F3D"/>
    <w:rsid w:val="71364707"/>
    <w:rsid w:val="71F306C5"/>
    <w:rsid w:val="72767856"/>
    <w:rsid w:val="7317608A"/>
    <w:rsid w:val="73522A4D"/>
    <w:rsid w:val="73811AE6"/>
    <w:rsid w:val="74736F42"/>
    <w:rsid w:val="758973AB"/>
    <w:rsid w:val="75945030"/>
    <w:rsid w:val="76EE6BAE"/>
    <w:rsid w:val="774A6ED9"/>
    <w:rsid w:val="78C74243"/>
    <w:rsid w:val="7A7D3396"/>
    <w:rsid w:val="7B562977"/>
    <w:rsid w:val="7E520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ascii="宋体" w:hAnsi="宋体" w:cs="宋体"/>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市直</Company>
  <Pages>6</Pages>
  <Words>2440</Words>
  <Characters>2463</Characters>
  <Lines>17</Lines>
  <Paragraphs>4</Paragraphs>
  <TotalTime>5</TotalTime>
  <ScaleCrop>false</ScaleCrop>
  <LinksUpToDate>false</LinksUpToDate>
  <CharactersWithSpaces>2510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2019-05-05T02:12:00Z</dcterms:created>
  <dc:creator>王郁岚</dc:creator>
  <cp:lastModifiedBy>摩西</cp:lastModifiedBy>
  <cp:lastPrinted>2022-07-12T08:13:00Z</cp:lastPrinted>
  <dcterms:modified xsi:type="dcterms:W3CDTF">2022-07-21T03:39:01Z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561A8F8E7C3E45DB8BDA6E50F85F2853</vt:lpwstr>
  </property>
</Properties>
</file>